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keepLines/>
        <w:widowControl/>
        <w:spacing w:before="200" w:after="200"/>
        <w:jc w:val="center"/>
      </w:pPr>
      <w:r>
        <w:rPr>
          <w:b/>
          <w:color w:val="12304F"/>
          <w:sz w:val="30"/>
        </w:rPr>
        <w:t>SROVNÁNÍ VARIANT INTERAKTIVNÍ MAPY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1. Účel</w:t>
      </w:r>
    </w:p>
    <w:p>
      <w:pPr>
        <w:keepNext w:val="0"/>
        <w:keepLines/>
        <w:widowControl/>
      </w:pPr>
      <w:r>
        <w:t>Tento dokument porovnává šest různých pohledů nad stejnými scénářovými daty. Nejde o šest různých obsahů, ale o šest různých způsobů orientace v jedné právní a obchodní logice.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2. Výchozí verze</w:t>
      </w:r>
    </w:p>
    <w:p>
      <w:pPr>
        <w:keepNext w:val="0"/>
        <w:keepLines/>
        <w:widowControl/>
      </w:pPr>
      <w:r>
        <w:t>Výchozí `index.html` je vyvážený pracovní board.</w:t>
      </w:r>
    </w:p>
    <w:p>
      <w:pPr>
        <w:keepNext w:val="0"/>
        <w:keepLines/>
        <w:widowControl/>
      </w:pPr>
      <w:r>
        <w:t>Použij ji jako hlavní default, pokud nechceš řešit specializovaný pohled pro konkrétní roli.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3. Varianta 01 - Velitelský panel</w:t>
      </w:r>
    </w:p>
    <w:p>
      <w:pPr>
        <w:keepNext w:val="0"/>
        <w:keepLines/>
        <w:widowControl/>
      </w:pPr>
      <w:r>
        <w:t>Použij ji pro:</w:t>
      </w:r>
    </w:p>
    <w:p>
      <w:pPr>
        <w:pStyle w:val="ListBullet"/>
        <w:keepNext w:val="0"/>
        <w:keepLines/>
        <w:widowControl/>
      </w:pPr>
      <w:r>
        <w:t>vedení firmy,</w:t>
      </w:r>
    </w:p>
    <w:p>
      <w:pPr>
        <w:pStyle w:val="ListBullet"/>
        <w:keepNext w:val="0"/>
        <w:keepLines/>
        <w:widowControl/>
      </w:pPr>
      <w:r>
        <w:t>seniorní obchod,</w:t>
      </w:r>
    </w:p>
    <w:p>
      <w:pPr>
        <w:pStyle w:val="ListBullet"/>
        <w:keepNext w:val="0"/>
        <w:keepLines/>
        <w:widowControl/>
      </w:pPr>
      <w:r>
        <w:t>strategické rozhodování nad jedním obchodním případem.</w:t>
      </w:r>
    </w:p>
    <w:p/>
    <w:p>
      <w:pPr>
        <w:keepNext w:val="0"/>
        <w:keepLines/>
        <w:widowControl/>
      </w:pPr>
      <w:r>
        <w:t>Silné stránky:</w:t>
      </w:r>
    </w:p>
    <w:p>
      <w:pPr>
        <w:pStyle w:val="ListBullet"/>
        <w:keepNext w:val="0"/>
        <w:keepLines/>
        <w:widowControl/>
      </w:pPr>
      <w:r>
        <w:t>silné oddělení podfází,</w:t>
      </w:r>
    </w:p>
    <w:p>
      <w:pPr>
        <w:pStyle w:val="ListBullet"/>
        <w:keepNext w:val="0"/>
        <w:keepLines/>
        <w:widowControl/>
      </w:pPr>
      <w:r>
        <w:t>dobrá čitelnost aktivní a navazující větve,</w:t>
      </w:r>
    </w:p>
    <w:p>
      <w:pPr>
        <w:pStyle w:val="ListBullet"/>
        <w:keepNext w:val="0"/>
        <w:keepLines/>
        <w:widowControl/>
      </w:pPr>
      <w:r>
        <w:t>vhodné pro prezentaci na větší obrazovce.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4. Varianta 02 - Vertikální roadmap</w:t>
      </w:r>
    </w:p>
    <w:p>
      <w:pPr>
        <w:keepNext w:val="0"/>
        <w:keepLines/>
        <w:widowControl/>
      </w:pPr>
      <w:r>
        <w:t>Použij ji pro:</w:t>
      </w:r>
    </w:p>
    <w:p>
      <w:pPr>
        <w:pStyle w:val="ListBullet"/>
        <w:keepNext w:val="0"/>
        <w:keepLines/>
        <w:widowControl/>
      </w:pPr>
      <w:r>
        <w:t>onboarding obchodníků,</w:t>
      </w:r>
    </w:p>
    <w:p>
      <w:pPr>
        <w:pStyle w:val="ListBullet"/>
        <w:keepNext w:val="0"/>
        <w:keepLines/>
        <w:widowControl/>
      </w:pPr>
      <w:r>
        <w:t>administrativu,</w:t>
      </w:r>
    </w:p>
    <w:p>
      <w:pPr>
        <w:pStyle w:val="ListBullet"/>
        <w:keepNext w:val="0"/>
        <w:keepLines/>
        <w:widowControl/>
      </w:pPr>
      <w:r>
        <w:t>školení procesu od vstupu po reklamaci.</w:t>
      </w:r>
    </w:p>
    <w:p/>
    <w:p>
      <w:pPr>
        <w:keepNext w:val="0"/>
        <w:keepLines/>
        <w:widowControl/>
      </w:pPr>
      <w:r>
        <w:t>Silné stránky:</w:t>
      </w:r>
    </w:p>
    <w:p>
      <w:pPr>
        <w:pStyle w:val="ListBullet"/>
        <w:keepNext w:val="0"/>
        <w:keepLines/>
        <w:widowControl/>
      </w:pPr>
      <w:r>
        <w:t>jasná chronologie,</w:t>
      </w:r>
    </w:p>
    <w:p>
      <w:pPr>
        <w:pStyle w:val="ListBullet"/>
        <w:keepNext w:val="0"/>
        <w:keepLines/>
        <w:widowControl/>
      </w:pPr>
      <w:r>
        <w:t>intuitivní čtení shora dolů,</w:t>
      </w:r>
    </w:p>
    <w:p>
      <w:pPr>
        <w:pStyle w:val="ListBullet"/>
        <w:keepNext w:val="0"/>
        <w:keepLines/>
        <w:widowControl/>
      </w:pPr>
      <w:r>
        <w:t>dobře ukazuje, co je dřív a co později.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5. Varianta 03 - Matice rozhodování</w:t>
      </w:r>
    </w:p>
    <w:p>
      <w:pPr>
        <w:keepNext w:val="0"/>
        <w:keepLines/>
        <w:widowControl/>
      </w:pPr>
      <w:r>
        <w:t>Použij ji pro:</w:t>
      </w:r>
    </w:p>
    <w:p>
      <w:pPr>
        <w:pStyle w:val="ListBullet"/>
        <w:keepNext w:val="0"/>
        <w:keepLines/>
        <w:widowControl/>
      </w:pPr>
      <w:r>
        <w:t>porovnání sad 2.0 a 2.1,</w:t>
      </w:r>
    </w:p>
    <w:p>
      <w:pPr>
        <w:pStyle w:val="ListBullet"/>
        <w:keepNext w:val="0"/>
        <w:keepLines/>
        <w:widowControl/>
      </w:pPr>
      <w:r>
        <w:t>interní rozhodování, kterou sadu použít,</w:t>
      </w:r>
    </w:p>
    <w:p>
      <w:pPr>
        <w:pStyle w:val="ListBullet"/>
        <w:keepNext w:val="0"/>
        <w:keepLines/>
        <w:widowControl/>
      </w:pPr>
      <w:r>
        <w:t>management review.</w:t>
      </w:r>
    </w:p>
    <w:p/>
    <w:p>
      <w:pPr>
        <w:keepNext w:val="0"/>
        <w:keepLines/>
        <w:widowControl/>
      </w:pPr>
      <w:r>
        <w:t>Silné stránky:</w:t>
      </w:r>
    </w:p>
    <w:p>
      <w:pPr>
        <w:pStyle w:val="ListBullet"/>
        <w:keepNext w:val="0"/>
        <w:keepLines/>
        <w:widowControl/>
      </w:pPr>
      <w:r>
        <w:t>stejné fáze vedle sebe,</w:t>
      </w:r>
    </w:p>
    <w:p>
      <w:pPr>
        <w:pStyle w:val="ListBullet"/>
        <w:keepNext w:val="0"/>
        <w:keepLines/>
        <w:widowControl/>
      </w:pPr>
      <w:r>
        <w:t>rychlé srovnání architektur,</w:t>
      </w:r>
    </w:p>
    <w:p>
      <w:pPr>
        <w:pStyle w:val="ListBullet"/>
        <w:keepNext w:val="0"/>
        <w:keepLines/>
        <w:widowControl/>
      </w:pPr>
      <w:r>
        <w:t>dobré pro rozhodování o budoucí standardizaci.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6. Varianta 04 - Strom návazností</w:t>
      </w:r>
    </w:p>
    <w:p>
      <w:pPr>
        <w:keepNext w:val="0"/>
        <w:keepLines/>
        <w:widowControl/>
      </w:pPr>
      <w:r>
        <w:t>Použij ji pro:</w:t>
      </w:r>
    </w:p>
    <w:p>
      <w:pPr>
        <w:pStyle w:val="ListBullet"/>
        <w:keepNext w:val="0"/>
        <w:keepLines/>
        <w:widowControl/>
      </w:pPr>
      <w:r>
        <w:t>analýzu toku scénářů,</w:t>
      </w:r>
    </w:p>
    <w:p>
      <w:pPr>
        <w:pStyle w:val="ListBullet"/>
        <w:keepNext w:val="0"/>
        <w:keepLines/>
        <w:widowControl/>
      </w:pPr>
      <w:r>
        <w:t>hledání slabých míst ve větvení,</w:t>
      </w:r>
    </w:p>
    <w:p>
      <w:pPr>
        <w:pStyle w:val="ListBullet"/>
        <w:keepNext w:val="0"/>
        <w:keepLines/>
        <w:widowControl/>
      </w:pPr>
      <w:r>
        <w:t>debatu o návaznostech a krizových větvích.</w:t>
      </w:r>
    </w:p>
    <w:p/>
    <w:p>
      <w:pPr>
        <w:keepNext w:val="0"/>
        <w:keepLines/>
        <w:widowControl/>
      </w:pPr>
      <w:r>
        <w:t>Silné stránky:</w:t>
      </w:r>
    </w:p>
    <w:p>
      <w:pPr>
        <w:pStyle w:val="ListBullet"/>
        <w:keepNext w:val="0"/>
        <w:keepLines/>
        <w:widowControl/>
      </w:pPr>
      <w:r>
        <w:t>nejvíc připomíná rozhodovací strom,</w:t>
      </w:r>
    </w:p>
    <w:p>
      <w:pPr>
        <w:pStyle w:val="ListBullet"/>
        <w:keepNext w:val="0"/>
        <w:keepLines/>
        <w:widowControl/>
      </w:pPr>
      <w:r>
        <w:t>podporuje myšlení v návaznostech,</w:t>
      </w:r>
    </w:p>
    <w:p>
      <w:pPr>
        <w:pStyle w:val="ListBullet"/>
        <w:keepNext w:val="0"/>
        <w:keepLines/>
        <w:widowControl/>
      </w:pPr>
      <w:r>
        <w:t>dobře ukazuje, co je další krok po vybrané větvi.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7. Varianta 05 - Dokumentový navigátor</w:t>
      </w:r>
    </w:p>
    <w:p>
      <w:pPr>
        <w:keepNext w:val="0"/>
        <w:keepLines/>
        <w:widowControl/>
      </w:pPr>
      <w:r>
        <w:t>Použij ji pro:</w:t>
      </w:r>
    </w:p>
    <w:p>
      <w:pPr>
        <w:pStyle w:val="ListBullet"/>
        <w:keepNext w:val="0"/>
        <w:keepLines/>
        <w:widowControl/>
      </w:pPr>
      <w:r>
        <w:t>administrativu,</w:t>
      </w:r>
    </w:p>
    <w:p>
      <w:pPr>
        <w:pStyle w:val="ListBullet"/>
        <w:keepNext w:val="0"/>
        <w:keepLines/>
        <w:widowControl/>
      </w:pPr>
      <w:r>
        <w:t>backoffice,</w:t>
      </w:r>
    </w:p>
    <w:p>
      <w:pPr>
        <w:pStyle w:val="ListBullet"/>
        <w:keepNext w:val="0"/>
        <w:keepLines/>
        <w:widowControl/>
      </w:pPr>
      <w:r>
        <w:t>situace, kdy tým začíná otázkou „jaký dokument mám použít“.</w:t>
      </w:r>
    </w:p>
    <w:p/>
    <w:p>
      <w:pPr>
        <w:keepNext w:val="0"/>
        <w:keepLines/>
        <w:widowControl/>
      </w:pPr>
      <w:r>
        <w:t>Silné stránky:</w:t>
      </w:r>
    </w:p>
    <w:p>
      <w:pPr>
        <w:pStyle w:val="ListBullet"/>
        <w:keepNext w:val="0"/>
        <w:keepLines/>
        <w:widowControl/>
      </w:pPr>
      <w:r>
        <w:t>dokument-first přístup,</w:t>
      </w:r>
    </w:p>
    <w:p>
      <w:pPr>
        <w:pStyle w:val="ListBullet"/>
        <w:keepNext w:val="0"/>
        <w:keepLines/>
        <w:widowControl/>
      </w:pPr>
      <w:r>
        <w:t>rychlé dohledání, kde se který dokument používá,</w:t>
      </w:r>
    </w:p>
    <w:p>
      <w:pPr>
        <w:pStyle w:val="ListBullet"/>
        <w:keepNext w:val="0"/>
        <w:keepLines/>
        <w:widowControl/>
      </w:pPr>
      <w:r>
        <w:t>vhodné pro práci se smlouvami a přílohami bez hluboké znalosti stromu.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8. Doporučení pro další test</w:t>
      </w:r>
    </w:p>
    <w:p>
      <w:pPr>
        <w:keepNext w:val="0"/>
        <w:keepLines/>
        <w:widowControl/>
      </w:pPr>
      <w:r>
        <w:t>Doporučený postup je:</w:t>
      </w:r>
    </w:p>
    <w:p>
      <w:pPr>
        <w:pStyle w:val="ListBullet"/>
        <w:keepNext w:val="0"/>
        <w:keepLines/>
        <w:widowControl/>
      </w:pPr>
      <w:r>
        <w:t>nechat vedení projít variantu 01 a 04,</w:t>
      </w:r>
    </w:p>
    <w:p>
      <w:pPr>
        <w:pStyle w:val="ListBullet"/>
        <w:keepNext w:val="0"/>
        <w:keepLines/>
        <w:widowControl/>
      </w:pPr>
      <w:r>
        <w:t>nechat obchod projít variantu 02 a výchozí verzi,</w:t>
      </w:r>
    </w:p>
    <w:p>
      <w:pPr>
        <w:pStyle w:val="ListBullet"/>
        <w:keepNext w:val="0"/>
        <w:keepLines/>
        <w:widowControl/>
      </w:pPr>
      <w:r>
        <w:t>nechat administrativu projít variantu 05,</w:t>
      </w:r>
    </w:p>
    <w:p>
      <w:pPr>
        <w:pStyle w:val="ListBullet"/>
        <w:keepNext w:val="0"/>
        <w:keepLines/>
        <w:widowControl/>
      </w:pPr>
      <w:r>
        <w:t>nechat management porovnat 03 při rozhodování mezi 2.0 a 2.1.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9. Praktický závěr</w:t>
      </w:r>
    </w:p>
    <w:p>
      <w:pPr>
        <w:keepNext w:val="0"/>
        <w:keepLines/>
        <w:widowControl/>
      </w:pPr>
      <w:r>
        <w:t>Je možné, že nevznikne jedna vítězná varianta pro všechny.</w:t>
      </w:r>
    </w:p>
    <w:p>
      <w:pPr>
        <w:keepNext w:val="0"/>
        <w:keepLines/>
        <w:widowControl/>
      </w:pPr>
      <w:r>
        <w:t>Reálně může dávat smysl:</w:t>
      </w:r>
    </w:p>
    <w:p>
      <w:pPr>
        <w:pStyle w:val="ListBullet"/>
        <w:keepNext w:val="0"/>
        <w:keepLines/>
        <w:widowControl/>
      </w:pPr>
      <w:r>
        <w:t>jedna hlavní pracovní verze pro běžný provoz,</w:t>
      </w:r>
    </w:p>
    <w:p>
      <w:pPr>
        <w:pStyle w:val="ListBullet"/>
        <w:keepNext w:val="0"/>
        <w:keepLines/>
        <w:widowControl/>
      </w:pPr>
      <w:r>
        <w:t>jedna verze pro vedení,</w:t>
      </w:r>
    </w:p>
    <w:p>
      <w:pPr>
        <w:pStyle w:val="ListBullet"/>
        <w:keepNext w:val="0"/>
        <w:keepLines/>
        <w:widowControl/>
      </w:pPr>
      <w:r>
        <w:t>jedna verze pro administrativu.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47" w:right="1247" w:bottom="1020" w:left="124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E767A"/>
        <w:sz w:val="16"/>
      </w:rPr>
      <w:t>St@de servis, s.r.o. | Nový rozměr bydlení | kancelar@novyrozmerbydleni.cz | +420 739 673 535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920240" cy="137553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novy-rozmer-bydlen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0240" cy="137553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OpenAI Codex</dc:creator>
  <cp:keywords/>
  <dc:description>Vygenerováno do interního smluvního balíku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